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2B026" w14:textId="77777777" w:rsidR="0010155E" w:rsidRPr="00524F03" w:rsidRDefault="0010155E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bookmarkStart w:id="0" w:name="_GoBack"/>
      <w:bookmarkEnd w:id="0"/>
    </w:p>
    <w:p w14:paraId="23E591FD" w14:textId="2CEB4BD0" w:rsidR="00D84BC8" w:rsidRPr="00524F03" w:rsidRDefault="00D84BC8" w:rsidP="00D84BC8">
      <w:pPr>
        <w:pStyle w:val="Default"/>
        <w:rPr>
          <w:rFonts w:ascii="Fira Sans" w:hAnsi="Fira Sans" w:cs="Fira Sans"/>
          <w:b/>
          <w:bCs/>
          <w:color w:val="auto"/>
          <w:sz w:val="19"/>
          <w:szCs w:val="19"/>
        </w:rPr>
      </w:pPr>
      <w:r w:rsidRPr="00524F03">
        <w:rPr>
          <w:rFonts w:ascii="Fira Sans" w:hAnsi="Fira Sans" w:cs="Fira Sans"/>
          <w:b/>
          <w:bCs/>
          <w:color w:val="auto"/>
          <w:sz w:val="19"/>
          <w:szCs w:val="19"/>
        </w:rPr>
        <w:t>P</w:t>
      </w:r>
      <w:r w:rsidR="00524F03" w:rsidRPr="00524F03">
        <w:rPr>
          <w:rFonts w:ascii="Fira Sans" w:hAnsi="Fira Sans" w:cs="Fira Sans"/>
          <w:b/>
          <w:bCs/>
          <w:color w:val="auto"/>
          <w:sz w:val="19"/>
          <w:szCs w:val="19"/>
        </w:rPr>
        <w:t>rogram</w:t>
      </w:r>
      <w:r w:rsidRPr="00524F03">
        <w:rPr>
          <w:rFonts w:ascii="Fira Sans" w:hAnsi="Fira Sans" w:cs="Fira Sans"/>
          <w:b/>
          <w:bCs/>
          <w:color w:val="auto"/>
          <w:sz w:val="19"/>
          <w:szCs w:val="19"/>
        </w:rPr>
        <w:t xml:space="preserve"> Olimpiady Statystycznej</w:t>
      </w:r>
    </w:p>
    <w:p w14:paraId="391E4EE2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</w:p>
    <w:p w14:paraId="5AC501E0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b/>
          <w:bCs/>
          <w:color w:val="auto"/>
          <w:sz w:val="19"/>
          <w:szCs w:val="19"/>
        </w:rPr>
        <w:t xml:space="preserve">Cel główny: </w:t>
      </w:r>
    </w:p>
    <w:p w14:paraId="575DD3B3" w14:textId="7506A4E5" w:rsidR="00D84BC8" w:rsidRPr="009B11DD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9B11DD">
        <w:rPr>
          <w:rFonts w:ascii="Fira Sans" w:hAnsi="Fira Sans" w:cs="Fira Sans"/>
          <w:color w:val="auto"/>
          <w:sz w:val="19"/>
          <w:szCs w:val="19"/>
        </w:rPr>
        <w:t xml:space="preserve">Olimpiada Statystyczna jest olimpiadą tematyczną. Jej celem jest </w:t>
      </w:r>
      <w:r w:rsidR="009B11DD" w:rsidRPr="00CC5B33">
        <w:rPr>
          <w:rFonts w:ascii="Fira Sans" w:hAnsi="Fira Sans"/>
          <w:sz w:val="19"/>
          <w:szCs w:val="19"/>
        </w:rPr>
        <w:t>popularyzacja wiedzy z zakresu statystyki, rozwój umiejętności analitycznych wśród młodzieży szkolnej, a także promowanie krytycznego myślenia opartego na analizie danych. Kompetencje te są niezbędne zarówno w dalszym kształceniu, jak i na rynku pracy. Olimpiada Statystyczna stwarza przestrzeń do rozwijania umiejętności statystycznych uczestników oraz inspiruje ich i ich opiekunów merytorycznych do kontynuowania edukacji w dziedzinach związanych z analizą danych i naukami ścisłymi.</w:t>
      </w:r>
    </w:p>
    <w:p w14:paraId="5D6B64B5" w14:textId="77777777" w:rsidR="009B11DD" w:rsidRDefault="009B11DD" w:rsidP="00D84BC8">
      <w:pPr>
        <w:pStyle w:val="Default"/>
        <w:rPr>
          <w:rFonts w:ascii="Fira Sans" w:hAnsi="Fira Sans" w:cs="Fira Sans"/>
          <w:b/>
          <w:bCs/>
          <w:color w:val="auto"/>
          <w:sz w:val="19"/>
          <w:szCs w:val="19"/>
        </w:rPr>
      </w:pPr>
    </w:p>
    <w:p w14:paraId="458F58A9" w14:textId="34528956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b/>
          <w:bCs/>
          <w:color w:val="auto"/>
          <w:sz w:val="19"/>
          <w:szCs w:val="19"/>
        </w:rPr>
        <w:t xml:space="preserve">Cele szczegółowe: </w:t>
      </w:r>
    </w:p>
    <w:p w14:paraId="52147C3D" w14:textId="6C253B7A" w:rsidR="009B11DD" w:rsidRPr="00CC5B33" w:rsidRDefault="009B11DD" w:rsidP="00AF3B2B">
      <w:pPr>
        <w:pStyle w:val="Default"/>
        <w:numPr>
          <w:ilvl w:val="0"/>
          <w:numId w:val="1"/>
        </w:numPr>
        <w:rPr>
          <w:rFonts w:ascii="Fira Sans" w:hAnsi="Fira Sans" w:cs="Fira Sans"/>
          <w:color w:val="auto"/>
          <w:sz w:val="19"/>
          <w:szCs w:val="19"/>
        </w:rPr>
      </w:pPr>
      <w:r w:rsidRPr="00CC5B33">
        <w:rPr>
          <w:rFonts w:ascii="Fira Sans" w:hAnsi="Fira Sans" w:cs="Fira Sans"/>
          <w:color w:val="auto"/>
          <w:sz w:val="19"/>
          <w:szCs w:val="19"/>
        </w:rPr>
        <w:t>podniesienie poziomu wiedzy i umiejętności z zakresu statystyki – rozwijanie umiejętności poszukiwania, analizy i interpretacji informacji, a także zwiększanie świadomości ich znaczenia; poprzez rozwiązywanie zadań statystycznych, uczestnicy mają okazję pogłębiać swoją wiedzę, a element rywalizacji stanowi dodatkowy, angażujący motywator do nauki.</w:t>
      </w:r>
    </w:p>
    <w:p w14:paraId="4871E012" w14:textId="4BD71749" w:rsidR="009B11DD" w:rsidRPr="00CC5B33" w:rsidRDefault="009B11DD" w:rsidP="00351751">
      <w:pPr>
        <w:pStyle w:val="Default"/>
        <w:numPr>
          <w:ilvl w:val="0"/>
          <w:numId w:val="1"/>
        </w:numPr>
        <w:rPr>
          <w:rFonts w:ascii="Fira Sans" w:hAnsi="Fira Sans" w:cs="Fira Sans"/>
          <w:color w:val="auto"/>
          <w:sz w:val="19"/>
          <w:szCs w:val="19"/>
        </w:rPr>
      </w:pPr>
      <w:r w:rsidRPr="00CC5B33">
        <w:rPr>
          <w:rFonts w:ascii="Fira Sans" w:hAnsi="Fira Sans" w:cs="Fira Sans"/>
          <w:color w:val="auto"/>
          <w:sz w:val="19"/>
          <w:szCs w:val="19"/>
        </w:rPr>
        <w:t>promowanie umiejętności analitycznych i interpretacyjnych – motywowanie uczestników oraz ich opiekunów merytorycznych do dalszego rozwoju w zakresie statystyki, kształtowanie świadomości o korzyściach płynących z posiadania umiejętności analitycznych oraz praktyczne ćwiczenie wyciągania wniosków na podstawie danych statystycznych.</w:t>
      </w:r>
    </w:p>
    <w:p w14:paraId="032B0339" w14:textId="716DCAC3" w:rsidR="009B11DD" w:rsidRPr="00CC5B33" w:rsidRDefault="009B11DD" w:rsidP="002D56EF">
      <w:pPr>
        <w:pStyle w:val="Default"/>
        <w:numPr>
          <w:ilvl w:val="0"/>
          <w:numId w:val="1"/>
        </w:numPr>
        <w:rPr>
          <w:rFonts w:ascii="Fira Sans" w:hAnsi="Fira Sans" w:cs="Fira Sans"/>
          <w:color w:val="auto"/>
          <w:sz w:val="19"/>
          <w:szCs w:val="19"/>
        </w:rPr>
      </w:pPr>
      <w:r w:rsidRPr="00CC5B33">
        <w:rPr>
          <w:rFonts w:ascii="Fira Sans" w:hAnsi="Fira Sans" w:cs="Fira Sans"/>
          <w:color w:val="auto"/>
          <w:sz w:val="19"/>
          <w:szCs w:val="19"/>
        </w:rPr>
        <w:t>upowszechnienie praktycznych zastosowań statystyki – ukazanie uczestnikom, jak statystyka znajduje zastosowanie w różnych dziedzinach naukowych, a także w codziennym życiu, co pozwala na lepsze zrozumienie jej roli w otaczającym nas świecie.</w:t>
      </w:r>
    </w:p>
    <w:p w14:paraId="185729AC" w14:textId="0B2771B0" w:rsidR="009B11DD" w:rsidRPr="00CC5B33" w:rsidRDefault="009B11DD" w:rsidP="00494A68">
      <w:pPr>
        <w:pStyle w:val="Default"/>
        <w:numPr>
          <w:ilvl w:val="0"/>
          <w:numId w:val="1"/>
        </w:numPr>
        <w:rPr>
          <w:rFonts w:ascii="Fira Sans" w:hAnsi="Fira Sans" w:cs="Fira Sans"/>
          <w:color w:val="auto"/>
          <w:sz w:val="19"/>
          <w:szCs w:val="19"/>
        </w:rPr>
      </w:pPr>
      <w:r w:rsidRPr="00CC5B33">
        <w:rPr>
          <w:rFonts w:ascii="Fira Sans" w:hAnsi="Fira Sans" w:cs="Fira Sans"/>
          <w:color w:val="auto"/>
          <w:sz w:val="19"/>
          <w:szCs w:val="19"/>
        </w:rPr>
        <w:t>zwiększenie zainteresowania statystyką i analizami społeczno-gospodarczymi – zachęcenie młodych ludzi i ich nauczycieli do zgłębiania zagadnień związanych ze statystyką, poszukiwania interesujących narzędzi, publikacji oraz odkrywania jej najbardziej fascynujących obszarów.</w:t>
      </w:r>
    </w:p>
    <w:p w14:paraId="6CBA5961" w14:textId="3379F32D" w:rsidR="009B11DD" w:rsidRPr="00CC5B33" w:rsidRDefault="009B11DD" w:rsidP="00C20445">
      <w:pPr>
        <w:pStyle w:val="Default"/>
        <w:numPr>
          <w:ilvl w:val="0"/>
          <w:numId w:val="1"/>
        </w:numPr>
        <w:rPr>
          <w:rFonts w:ascii="Fira Sans" w:hAnsi="Fira Sans" w:cs="Fira Sans"/>
          <w:color w:val="auto"/>
          <w:sz w:val="19"/>
          <w:szCs w:val="19"/>
        </w:rPr>
      </w:pPr>
      <w:r w:rsidRPr="00CC5B33">
        <w:rPr>
          <w:rFonts w:ascii="Fira Sans" w:hAnsi="Fira Sans" w:cs="Fira Sans"/>
          <w:color w:val="auto"/>
          <w:sz w:val="19"/>
          <w:szCs w:val="19"/>
        </w:rPr>
        <w:t>wyłonienie i wspieranie uzdolnionych młodych ludzi – Olimpiada daje możliwość zauważenia i wyłonienia uczniów szczególnie zainteresowanych statystyką i naukami pokrewnymi; poprzez stymulowanie do zgłębiania przez nich wiedzy, rozwija w nich pasje do statystyki, daje możliwość skorzystania z preferencyjnych warunków w procesie rekrutacji na wybrane studia a także stanowi okazję do promowania ich osiągnięć.</w:t>
      </w:r>
    </w:p>
    <w:p w14:paraId="0A848B84" w14:textId="190D31FD" w:rsidR="00D84BC8" w:rsidRPr="00CC5B33" w:rsidRDefault="009B11DD" w:rsidP="0046035B">
      <w:pPr>
        <w:pStyle w:val="Default"/>
        <w:numPr>
          <w:ilvl w:val="0"/>
          <w:numId w:val="1"/>
        </w:numPr>
        <w:ind w:left="709"/>
        <w:rPr>
          <w:rFonts w:ascii="Fira Sans" w:hAnsi="Fira Sans" w:cs="Fira Sans"/>
          <w:color w:val="auto"/>
          <w:sz w:val="19"/>
          <w:szCs w:val="19"/>
        </w:rPr>
      </w:pPr>
      <w:r w:rsidRPr="00CC5B33">
        <w:rPr>
          <w:rFonts w:ascii="Fira Sans" w:hAnsi="Fira Sans" w:cs="Fira Sans"/>
          <w:color w:val="auto"/>
          <w:sz w:val="19"/>
          <w:szCs w:val="19"/>
        </w:rPr>
        <w:t>integracja środowiska młodych ludzi zainteresowanych statystyką – Olimpiada sprzyja nawiązywaniu współpracy pomiędzy uczestnikami z różnych szkół średnich, umożliwiając wymianę doświadczeń i spostrzeżeń w zakresie stosowania narzędzi statystycznych, co wspiera rozwój ich umiejętności i pasji.</w:t>
      </w:r>
    </w:p>
    <w:p w14:paraId="64733F5C" w14:textId="77777777" w:rsidR="009B11DD" w:rsidRPr="00524F03" w:rsidRDefault="009B11DD" w:rsidP="009B11DD">
      <w:pPr>
        <w:pStyle w:val="Default"/>
        <w:ind w:left="709"/>
        <w:rPr>
          <w:rFonts w:ascii="Fira Sans" w:hAnsi="Fira Sans" w:cs="Fira Sans"/>
          <w:color w:val="auto"/>
          <w:sz w:val="19"/>
          <w:szCs w:val="19"/>
        </w:rPr>
      </w:pPr>
    </w:p>
    <w:p w14:paraId="19E8F9C2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b/>
          <w:bCs/>
          <w:color w:val="auto"/>
          <w:sz w:val="19"/>
          <w:szCs w:val="19"/>
        </w:rPr>
        <w:t xml:space="preserve">Zakres tematyczny: </w:t>
      </w:r>
    </w:p>
    <w:p w14:paraId="4459052F" w14:textId="77777777" w:rsidR="00CC5B33" w:rsidRDefault="00D84BC8" w:rsidP="00DC0703">
      <w:pPr>
        <w:pStyle w:val="Default"/>
        <w:rPr>
          <w:rFonts w:ascii="Fira Sans" w:hAnsi="Fira Sans" w:cs="Fira Sans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t xml:space="preserve">Zakres tematyczny Olimpiady </w:t>
      </w:r>
      <w:r w:rsidR="00524F03">
        <w:rPr>
          <w:rFonts w:ascii="Fira Sans" w:hAnsi="Fira Sans" w:cs="Fira Sans"/>
          <w:color w:val="auto"/>
          <w:sz w:val="19"/>
          <w:szCs w:val="19"/>
        </w:rPr>
        <w:t xml:space="preserve">Statystycznej </w:t>
      </w:r>
      <w:r w:rsidRPr="00524F03">
        <w:rPr>
          <w:rFonts w:ascii="Fira Sans" w:hAnsi="Fira Sans" w:cs="Fira Sans"/>
          <w:color w:val="auto"/>
          <w:sz w:val="19"/>
          <w:szCs w:val="19"/>
        </w:rPr>
        <w:t xml:space="preserve">jest zgodny z rozporządzeniem Ministra Edukacji Narodowej z dnia 30 stycznia 2018 r. w sprawie podstawy programowej kształcenia ogólnego dla liceum ogólnokształcącego,  technikum oraz branżowej szkoły II stopnia (Dz. U. z 2018 r., poz. 467) oraz </w:t>
      </w:r>
      <w:r w:rsidR="00DC0703">
        <w:rPr>
          <w:rFonts w:ascii="Fira Sans" w:hAnsi="Fira Sans" w:cs="Fira Sans"/>
          <w:color w:val="auto"/>
          <w:sz w:val="19"/>
          <w:szCs w:val="19"/>
        </w:rPr>
        <w:t>obwieszcz</w:t>
      </w:r>
      <w:r w:rsidRPr="00524F03">
        <w:rPr>
          <w:rFonts w:ascii="Fira Sans" w:hAnsi="Fira Sans" w:cs="Fira Sans"/>
          <w:color w:val="auto"/>
          <w:sz w:val="19"/>
          <w:szCs w:val="19"/>
        </w:rPr>
        <w:t xml:space="preserve">eniem Ministra Edukacji z dnia </w:t>
      </w:r>
      <w:r w:rsidR="00DC0703">
        <w:rPr>
          <w:rFonts w:ascii="Fira Sans" w:hAnsi="Fira Sans" w:cs="Fira Sans"/>
          <w:color w:val="auto"/>
          <w:sz w:val="19"/>
          <w:szCs w:val="19"/>
        </w:rPr>
        <w:t>19 marca 2024</w:t>
      </w:r>
      <w:r w:rsidRPr="00524F03">
        <w:rPr>
          <w:rFonts w:ascii="Fira Sans" w:hAnsi="Fira Sans" w:cs="Fira Sans"/>
          <w:color w:val="auto"/>
          <w:sz w:val="19"/>
          <w:szCs w:val="19"/>
        </w:rPr>
        <w:t xml:space="preserve"> r. </w:t>
      </w:r>
      <w:r w:rsidR="00DC0703" w:rsidRPr="00DC0703">
        <w:rPr>
          <w:rFonts w:ascii="Fira Sans" w:hAnsi="Fira Sans" w:cs="Fira Sans"/>
          <w:color w:val="auto"/>
          <w:sz w:val="19"/>
          <w:szCs w:val="19"/>
        </w:rPr>
        <w:t>w sprawie ogłoszenia jednolitego tekstu rozporządzenia Ministra Edukacji Narodowej</w:t>
      </w:r>
      <w:r w:rsidR="00DC0703">
        <w:rPr>
          <w:rFonts w:ascii="Fira Sans" w:hAnsi="Fira Sans" w:cs="Fira Sans"/>
          <w:color w:val="auto"/>
          <w:sz w:val="19"/>
          <w:szCs w:val="19"/>
        </w:rPr>
        <w:t xml:space="preserve"> </w:t>
      </w:r>
      <w:r w:rsidR="00DC0703" w:rsidRPr="00DC0703">
        <w:rPr>
          <w:rFonts w:ascii="Fira Sans" w:hAnsi="Fira Sans" w:cs="Fira Sans"/>
          <w:color w:val="auto"/>
          <w:sz w:val="19"/>
          <w:szCs w:val="19"/>
        </w:rPr>
        <w:t>w sprawie ogólnych celów i zadań kształcenia w zawodach szkolnictwa branżowego</w:t>
      </w:r>
      <w:r w:rsidR="00DC0703">
        <w:rPr>
          <w:rFonts w:ascii="Fira Sans" w:hAnsi="Fira Sans" w:cs="Fira Sans"/>
          <w:color w:val="auto"/>
          <w:sz w:val="19"/>
          <w:szCs w:val="19"/>
        </w:rPr>
        <w:t xml:space="preserve"> </w:t>
      </w:r>
      <w:r w:rsidR="00DC0703" w:rsidRPr="00DC0703">
        <w:rPr>
          <w:rFonts w:ascii="Fira Sans" w:hAnsi="Fira Sans" w:cs="Fira Sans"/>
          <w:color w:val="auto"/>
          <w:sz w:val="19"/>
          <w:szCs w:val="19"/>
        </w:rPr>
        <w:t>oraz klasyfikacji zawodów szkolnictwa branżowego</w:t>
      </w:r>
      <w:r w:rsidRPr="00524F03">
        <w:rPr>
          <w:rFonts w:ascii="Fira Sans" w:hAnsi="Fira Sans" w:cs="Fira Sans"/>
          <w:color w:val="auto"/>
          <w:sz w:val="19"/>
          <w:szCs w:val="19"/>
        </w:rPr>
        <w:t xml:space="preserve"> (Dz. U. z 20</w:t>
      </w:r>
      <w:r w:rsidR="00DC0703">
        <w:rPr>
          <w:rFonts w:ascii="Fira Sans" w:hAnsi="Fira Sans" w:cs="Fira Sans"/>
          <w:color w:val="auto"/>
          <w:sz w:val="19"/>
          <w:szCs w:val="19"/>
        </w:rPr>
        <w:t>24</w:t>
      </w:r>
      <w:r w:rsidRPr="00524F03">
        <w:rPr>
          <w:rFonts w:ascii="Fira Sans" w:hAnsi="Fira Sans" w:cs="Fira Sans"/>
          <w:color w:val="auto"/>
          <w:sz w:val="19"/>
          <w:szCs w:val="19"/>
        </w:rPr>
        <w:t xml:space="preserve"> r., poz. </w:t>
      </w:r>
      <w:r w:rsidR="00DC0703">
        <w:rPr>
          <w:rFonts w:ascii="Fira Sans" w:hAnsi="Fira Sans" w:cs="Fira Sans"/>
          <w:color w:val="auto"/>
          <w:sz w:val="19"/>
          <w:szCs w:val="19"/>
        </w:rPr>
        <w:t>611</w:t>
      </w:r>
      <w:r w:rsidRPr="00524F03">
        <w:rPr>
          <w:rFonts w:ascii="Fira Sans" w:hAnsi="Fira Sans" w:cs="Fira Sans"/>
          <w:color w:val="auto"/>
          <w:sz w:val="19"/>
          <w:szCs w:val="19"/>
        </w:rPr>
        <w:t xml:space="preserve">). Program, ujęty w sześć obszarów tematycznych, jest skorelowany z wybranymi zagadnieniami zawartymi w podstawie programowej następujących przedmiotów: </w:t>
      </w:r>
      <w:r w:rsidR="00DC0703" w:rsidRPr="00DC0703">
        <w:rPr>
          <w:rFonts w:ascii="Fira Sans" w:hAnsi="Fira Sans" w:cs="Fira Sans"/>
          <w:sz w:val="19"/>
          <w:szCs w:val="19"/>
        </w:rPr>
        <w:t xml:space="preserve">matematyki, informatyki, biologii, geografii, podstaw biznesu i zarządzania, wiedzy o społeczeństwie oraz podstaw ekonomii i statystyki. </w:t>
      </w:r>
    </w:p>
    <w:p w14:paraId="19C240CD" w14:textId="78327FAD" w:rsidR="00D84BC8" w:rsidRPr="00524F03" w:rsidRDefault="00D84BC8" w:rsidP="00DC0703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t xml:space="preserve">Uczniowie biorący udział w Olimpiadzie </w:t>
      </w:r>
      <w:r w:rsidR="00524F03">
        <w:rPr>
          <w:rFonts w:ascii="Fira Sans" w:hAnsi="Fira Sans" w:cs="Fira Sans"/>
          <w:color w:val="auto"/>
          <w:sz w:val="19"/>
          <w:szCs w:val="19"/>
        </w:rPr>
        <w:t xml:space="preserve">Statystycznej </w:t>
      </w:r>
      <w:r w:rsidRPr="00524F03">
        <w:rPr>
          <w:rFonts w:ascii="Fira Sans" w:hAnsi="Fira Sans" w:cs="Fira Sans"/>
          <w:color w:val="auto"/>
          <w:sz w:val="19"/>
          <w:szCs w:val="19"/>
        </w:rPr>
        <w:t>na etapie centralnym powinni wykaz</w:t>
      </w:r>
      <w:r w:rsidR="00DC0703">
        <w:rPr>
          <w:rFonts w:ascii="Fira Sans" w:hAnsi="Fira Sans" w:cs="Fira Sans"/>
          <w:color w:val="auto"/>
          <w:sz w:val="19"/>
          <w:szCs w:val="19"/>
        </w:rPr>
        <w:t>yw</w:t>
      </w:r>
      <w:r w:rsidRPr="00524F03">
        <w:rPr>
          <w:rFonts w:ascii="Fira Sans" w:hAnsi="Fira Sans" w:cs="Fira Sans"/>
          <w:color w:val="auto"/>
          <w:sz w:val="19"/>
          <w:szCs w:val="19"/>
        </w:rPr>
        <w:t xml:space="preserve">ać się wiedzą i umiejętnościami z zakresu tych przedmiotów wykraczającymi poza podstawę programową dla szkół, </w:t>
      </w:r>
      <w:r w:rsidR="005F72EC">
        <w:rPr>
          <w:rFonts w:ascii="Fira Sans" w:hAnsi="Fira Sans" w:cs="Fira Sans"/>
          <w:color w:val="auto"/>
          <w:sz w:val="19"/>
          <w:szCs w:val="19"/>
        </w:rPr>
        <w:t xml:space="preserve">w których </w:t>
      </w:r>
      <w:r w:rsidRPr="00524F03">
        <w:rPr>
          <w:rFonts w:ascii="Fira Sans" w:hAnsi="Fira Sans" w:cs="Fira Sans"/>
          <w:color w:val="auto"/>
          <w:sz w:val="19"/>
          <w:szCs w:val="19"/>
        </w:rPr>
        <w:t xml:space="preserve">nauka kończy się egzaminem dojrzałości. </w:t>
      </w:r>
    </w:p>
    <w:p w14:paraId="4C3CAA3A" w14:textId="77777777" w:rsidR="00D84BC8" w:rsidRPr="00524F03" w:rsidRDefault="00D84BC8" w:rsidP="00D84BC8">
      <w:pPr>
        <w:pStyle w:val="Default"/>
        <w:rPr>
          <w:rFonts w:ascii="Fira Sans" w:hAnsi="Fira Sans" w:cs="Fira Sans"/>
          <w:b/>
          <w:bCs/>
          <w:color w:val="auto"/>
          <w:sz w:val="19"/>
          <w:szCs w:val="19"/>
        </w:rPr>
      </w:pPr>
    </w:p>
    <w:p w14:paraId="4E5B3DEC" w14:textId="77777777" w:rsidR="00D84BC8" w:rsidRPr="00524F03" w:rsidRDefault="00D84BC8" w:rsidP="00D84BC8">
      <w:pPr>
        <w:pStyle w:val="Default"/>
        <w:rPr>
          <w:rFonts w:ascii="Fira Sans" w:hAnsi="Fira Sans" w:cs="Fira Sans"/>
          <w:b/>
          <w:bCs/>
          <w:color w:val="auto"/>
          <w:sz w:val="19"/>
          <w:szCs w:val="19"/>
        </w:rPr>
      </w:pPr>
      <w:r w:rsidRPr="00524F03">
        <w:rPr>
          <w:rFonts w:ascii="Fira Sans" w:hAnsi="Fira Sans" w:cs="Fira Sans"/>
          <w:b/>
          <w:bCs/>
          <w:color w:val="auto"/>
          <w:sz w:val="19"/>
          <w:szCs w:val="19"/>
        </w:rPr>
        <w:t xml:space="preserve">Obszary tematyczne </w:t>
      </w:r>
    </w:p>
    <w:p w14:paraId="1D63722F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</w:p>
    <w:p w14:paraId="0B203AB0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b/>
          <w:bCs/>
          <w:color w:val="auto"/>
          <w:sz w:val="19"/>
          <w:szCs w:val="19"/>
        </w:rPr>
        <w:t xml:space="preserve">Obszar 1. </w:t>
      </w:r>
    </w:p>
    <w:p w14:paraId="6E781B98" w14:textId="77777777" w:rsidR="00D84BC8" w:rsidRPr="00524F03" w:rsidRDefault="00D84BC8" w:rsidP="00D84BC8">
      <w:pPr>
        <w:pStyle w:val="Default"/>
        <w:rPr>
          <w:color w:val="auto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t xml:space="preserve">Przedmiot, metody i organizacja badań statystycznych  </w:t>
      </w:r>
    </w:p>
    <w:p w14:paraId="10C79620" w14:textId="37A43294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t>Organizacja statystyki publicznej. Badania statystyczne, ze szczególnym uwzględnieniem spisów powszechnych. Etapy badania i rodzaje badań statystycznych. Wyszukiwanie, gromadzenie, selekcjonowanie, korzystanie z różnych źródeł i sposobów zdobywania oraz przetwarzanie</w:t>
      </w:r>
      <w:r w:rsidR="001A6D03">
        <w:rPr>
          <w:rFonts w:ascii="Fira Sans" w:hAnsi="Fira Sans" w:cs="Fira Sans"/>
          <w:color w:val="auto"/>
          <w:sz w:val="19"/>
          <w:szCs w:val="19"/>
        </w:rPr>
        <w:t xml:space="preserve"> </w:t>
      </w:r>
      <w:r w:rsidRPr="00524F03">
        <w:rPr>
          <w:rFonts w:ascii="Fira Sans" w:hAnsi="Fira Sans" w:cs="Fira Sans"/>
          <w:color w:val="auto"/>
          <w:sz w:val="19"/>
          <w:szCs w:val="19"/>
        </w:rPr>
        <w:t xml:space="preserve">i wykorzystywanie informacji statystycznych (publikacje i bazy danych statystycznych statystyki publicznej). </w:t>
      </w:r>
    </w:p>
    <w:p w14:paraId="53D6FF7F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</w:p>
    <w:p w14:paraId="7A149BFA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b/>
          <w:bCs/>
          <w:color w:val="auto"/>
          <w:sz w:val="19"/>
          <w:szCs w:val="19"/>
        </w:rPr>
        <w:t xml:space="preserve">Obszar 2. </w:t>
      </w:r>
    </w:p>
    <w:p w14:paraId="03B0B4CB" w14:textId="77777777" w:rsidR="00D84BC8" w:rsidRPr="00524F03" w:rsidRDefault="00D84BC8" w:rsidP="00D84BC8">
      <w:pPr>
        <w:pStyle w:val="Default"/>
        <w:rPr>
          <w:color w:val="auto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lastRenderedPageBreak/>
        <w:t xml:space="preserve">Analiza struktury, współzależności oraz dynamiki zjawisk masowych </w:t>
      </w:r>
    </w:p>
    <w:p w14:paraId="2D1483AC" w14:textId="7A86E1DD" w:rsidR="00D84BC8" w:rsidRPr="00524F03" w:rsidRDefault="00D84BC8" w:rsidP="00D84BC8">
      <w:pPr>
        <w:pStyle w:val="Default"/>
        <w:rPr>
          <w:rFonts w:ascii="Fira Sans" w:hAnsi="Fira Sans" w:cs="Fira Sans"/>
          <w:b/>
          <w:bCs/>
          <w:color w:val="auto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t xml:space="preserve">Skale pomiarowe, na których wyrażone są obserwacje statystyczne (z badań lub źródeł administracyjnych) i działania dopuszczalne na danych wyrażonych na tych skalach. Prezentacja graficzna i tabelaryczna danych. Miary dla danych indywidualnych i pogrupowanych: średnia arytmetyczna, średnia geometryczna, średnia harmoniczna, średnia ważona, </w:t>
      </w:r>
      <w:proofErr w:type="spellStart"/>
      <w:r w:rsidRPr="00524F03">
        <w:rPr>
          <w:rFonts w:ascii="Fira Sans" w:hAnsi="Fira Sans" w:cs="Fira Sans"/>
          <w:color w:val="auto"/>
          <w:sz w:val="19"/>
          <w:szCs w:val="19"/>
        </w:rPr>
        <w:t>kwantyle</w:t>
      </w:r>
      <w:proofErr w:type="spellEnd"/>
      <w:r w:rsidRPr="00524F03">
        <w:rPr>
          <w:rFonts w:ascii="Fira Sans" w:hAnsi="Fira Sans" w:cs="Fira Sans"/>
          <w:color w:val="auto"/>
          <w:sz w:val="19"/>
          <w:szCs w:val="19"/>
        </w:rPr>
        <w:t xml:space="preserve"> </w:t>
      </w:r>
      <w:r w:rsidR="001A6D03">
        <w:rPr>
          <w:rFonts w:ascii="Fira Sans" w:hAnsi="Fira Sans" w:cs="Fira Sans"/>
          <w:color w:val="auto"/>
          <w:sz w:val="19"/>
          <w:szCs w:val="19"/>
        </w:rPr>
        <w:t>(</w:t>
      </w:r>
      <w:r w:rsidRPr="00524F03">
        <w:rPr>
          <w:rFonts w:ascii="Fira Sans" w:hAnsi="Fira Sans" w:cs="Fira Sans"/>
          <w:color w:val="auto"/>
          <w:sz w:val="19"/>
          <w:szCs w:val="19"/>
        </w:rPr>
        <w:t>w tym: mediana</w:t>
      </w:r>
      <w:r w:rsidR="001A6D03">
        <w:rPr>
          <w:rFonts w:ascii="Fira Sans" w:hAnsi="Fira Sans" w:cs="Fira Sans"/>
          <w:color w:val="auto"/>
          <w:sz w:val="19"/>
          <w:szCs w:val="19"/>
        </w:rPr>
        <w:t>)</w:t>
      </w:r>
      <w:r w:rsidRPr="00524F03">
        <w:rPr>
          <w:rFonts w:ascii="Fira Sans" w:hAnsi="Fira Sans" w:cs="Fira Sans"/>
          <w:color w:val="auto"/>
          <w:sz w:val="19"/>
          <w:szCs w:val="19"/>
        </w:rPr>
        <w:t>, dominanta, wariancja i odchylenia (standardowe, przeciętne, ćwiartkowe) rozstęp, rozstęp ćwiartkowy, klasyczne i pozycyjne współczynniki: zmienności</w:t>
      </w:r>
      <w:r w:rsidR="003C181B">
        <w:rPr>
          <w:rFonts w:ascii="Fira Sans" w:hAnsi="Fira Sans" w:cs="Fira Sans"/>
          <w:color w:val="auto"/>
          <w:sz w:val="19"/>
          <w:szCs w:val="19"/>
        </w:rPr>
        <w:t xml:space="preserve"> i </w:t>
      </w:r>
      <w:r w:rsidRPr="00524F03">
        <w:rPr>
          <w:rFonts w:ascii="Fira Sans" w:hAnsi="Fira Sans" w:cs="Fira Sans"/>
          <w:color w:val="auto"/>
          <w:sz w:val="19"/>
          <w:szCs w:val="19"/>
        </w:rPr>
        <w:t xml:space="preserve">asymetrii. Współczynniki korelacji: liniowej Pearsona, rang </w:t>
      </w:r>
      <w:proofErr w:type="spellStart"/>
      <w:r w:rsidRPr="00524F03">
        <w:rPr>
          <w:rFonts w:ascii="Fira Sans" w:hAnsi="Fira Sans" w:cs="Fira Sans"/>
          <w:color w:val="auto"/>
          <w:sz w:val="19"/>
          <w:szCs w:val="19"/>
        </w:rPr>
        <w:t>Spearmana</w:t>
      </w:r>
      <w:proofErr w:type="spellEnd"/>
      <w:r w:rsidRPr="00524F03">
        <w:rPr>
          <w:rFonts w:ascii="Fira Sans" w:hAnsi="Fira Sans" w:cs="Fira Sans"/>
          <w:color w:val="auto"/>
          <w:sz w:val="19"/>
          <w:szCs w:val="19"/>
        </w:rPr>
        <w:t xml:space="preserve"> oraz współczynnik tau-Kendalla. Przyrosty absolutne</w:t>
      </w:r>
      <w:r w:rsidR="001A6D03">
        <w:rPr>
          <w:rFonts w:ascii="Fira Sans" w:hAnsi="Fira Sans" w:cs="Fira Sans"/>
          <w:color w:val="auto"/>
          <w:sz w:val="19"/>
          <w:szCs w:val="19"/>
        </w:rPr>
        <w:t>, przyrosty</w:t>
      </w:r>
      <w:r w:rsidRPr="00524F03">
        <w:rPr>
          <w:rFonts w:ascii="Fira Sans" w:hAnsi="Fira Sans" w:cs="Fira Sans"/>
          <w:color w:val="auto"/>
          <w:sz w:val="19"/>
          <w:szCs w:val="19"/>
        </w:rPr>
        <w:t xml:space="preserve"> względne</w:t>
      </w:r>
      <w:r w:rsidR="001A6D03">
        <w:rPr>
          <w:rFonts w:ascii="Fira Sans" w:hAnsi="Fira Sans" w:cs="Fira Sans"/>
          <w:color w:val="auto"/>
          <w:sz w:val="19"/>
          <w:szCs w:val="19"/>
        </w:rPr>
        <w:t xml:space="preserve"> oraz i</w:t>
      </w:r>
      <w:r w:rsidRPr="00524F03">
        <w:rPr>
          <w:rFonts w:ascii="Fira Sans" w:hAnsi="Fira Sans" w:cs="Fira Sans"/>
          <w:color w:val="auto"/>
          <w:sz w:val="19"/>
          <w:szCs w:val="19"/>
        </w:rPr>
        <w:t>ndeksy łańcuchowe i o stałej podstawie, średnie tempo zmian, średni przyrost absolutny</w:t>
      </w:r>
      <w:r w:rsidRPr="00524F03">
        <w:rPr>
          <w:rFonts w:ascii="Fira Sans" w:hAnsi="Fira Sans" w:cs="Fira Sans"/>
          <w:b/>
          <w:bCs/>
          <w:color w:val="auto"/>
          <w:sz w:val="19"/>
          <w:szCs w:val="19"/>
        </w:rPr>
        <w:t xml:space="preserve"> </w:t>
      </w:r>
    </w:p>
    <w:p w14:paraId="070C329B" w14:textId="77777777" w:rsidR="00D84BC8" w:rsidRPr="00524F03" w:rsidRDefault="00D84BC8" w:rsidP="00D84BC8">
      <w:pPr>
        <w:pStyle w:val="Default"/>
        <w:rPr>
          <w:rFonts w:ascii="Fira Sans" w:hAnsi="Fira Sans" w:cs="Fira Sans"/>
          <w:b/>
          <w:bCs/>
          <w:color w:val="auto"/>
          <w:sz w:val="19"/>
          <w:szCs w:val="19"/>
        </w:rPr>
      </w:pPr>
    </w:p>
    <w:p w14:paraId="79FE24F8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b/>
          <w:bCs/>
          <w:color w:val="auto"/>
          <w:sz w:val="19"/>
          <w:szCs w:val="19"/>
        </w:rPr>
        <w:t xml:space="preserve">Obszar 3. </w:t>
      </w:r>
    </w:p>
    <w:p w14:paraId="25DD34EF" w14:textId="77777777" w:rsidR="00D84BC8" w:rsidRPr="00524F03" w:rsidRDefault="00D84BC8" w:rsidP="00D84BC8">
      <w:pPr>
        <w:pStyle w:val="Default"/>
        <w:rPr>
          <w:color w:val="auto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t xml:space="preserve">Podstawy rachunku prawdopodobieństwa </w:t>
      </w:r>
    </w:p>
    <w:p w14:paraId="32446B99" w14:textId="70D39569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t>Klasyczna definicja prawdopodobieństwa; prawdopodobieństwo warunkowe; wzór Bayesa; prawdopodobieństwo całkowite; pojęcia kombinatoryczne: permutacja, kombinacja, wariacja, wariacja</w:t>
      </w:r>
      <w:r w:rsidRPr="00524F03">
        <w:rPr>
          <w:rFonts w:ascii="Fira Sans" w:hAnsi="Fira Sans" w:cs="Fira Sans"/>
          <w:color w:val="auto"/>
          <w:sz w:val="19"/>
          <w:szCs w:val="19"/>
        </w:rPr>
        <w:br/>
        <w:t xml:space="preserve">z powtórzeniami; zastosowanie kombinatoryki do obliczania prawdopodobieństwa zdarzeń; schemat </w:t>
      </w:r>
      <w:proofErr w:type="spellStart"/>
      <w:r w:rsidRPr="00524F03">
        <w:rPr>
          <w:rFonts w:ascii="Fira Sans" w:hAnsi="Fira Sans" w:cs="Fira Sans"/>
          <w:color w:val="auto"/>
          <w:sz w:val="19"/>
          <w:szCs w:val="19"/>
        </w:rPr>
        <w:t>Bernoulliego</w:t>
      </w:r>
      <w:proofErr w:type="spellEnd"/>
      <w:r w:rsidRPr="00524F03">
        <w:rPr>
          <w:rFonts w:ascii="Fira Sans" w:hAnsi="Fira Sans" w:cs="Fira Sans"/>
          <w:color w:val="auto"/>
          <w:sz w:val="19"/>
          <w:szCs w:val="19"/>
        </w:rPr>
        <w:t xml:space="preserve">, zmienna losowa skokowa, wartość oczekiwana, wariancja i odchylenie standardowe zmiennej losowej skokowej. </w:t>
      </w:r>
    </w:p>
    <w:p w14:paraId="05E09DF5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</w:p>
    <w:p w14:paraId="15187D86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b/>
          <w:bCs/>
          <w:color w:val="auto"/>
          <w:sz w:val="19"/>
          <w:szCs w:val="19"/>
        </w:rPr>
        <w:t xml:space="preserve">Obszar 4. </w:t>
      </w:r>
    </w:p>
    <w:p w14:paraId="67943606" w14:textId="77777777" w:rsidR="00D84BC8" w:rsidRPr="00524F03" w:rsidRDefault="00D84BC8" w:rsidP="00D84BC8">
      <w:pPr>
        <w:pStyle w:val="Default"/>
        <w:rPr>
          <w:color w:val="auto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t xml:space="preserve">Rynek. Gospodarka. Finanse. Bankowość. Przedsiębiorstwo </w:t>
      </w:r>
    </w:p>
    <w:p w14:paraId="3BE974CC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t xml:space="preserve">Rynek i jego elementy. System bankowy w Polsce. Równowaga gospodarcza. Dochody i wydatki budżetu państwa. Deficyt budżetowy. Dług publiczny. Inflacja. Zmiany w gospodarce. Globalizacja gospodarki. Rynek pieniężny. Rynek kapitałowy. Rynek walutowy. Podatki. Rynek pracy. Podmioty gospodarcze. Organy rejestrowe. Analiza sytuacji majątkowej i finansowej przedsiębiorstw. Wynagrodzenia pracowników. </w:t>
      </w:r>
    </w:p>
    <w:p w14:paraId="0632902D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</w:p>
    <w:p w14:paraId="5CD1CE8F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b/>
          <w:bCs/>
          <w:color w:val="auto"/>
          <w:sz w:val="19"/>
          <w:szCs w:val="19"/>
        </w:rPr>
        <w:t xml:space="preserve">Obszar  5. </w:t>
      </w:r>
    </w:p>
    <w:p w14:paraId="77EE3756" w14:textId="77777777" w:rsidR="00D84BC8" w:rsidRPr="00524F03" w:rsidRDefault="00D84BC8" w:rsidP="00D84BC8">
      <w:pPr>
        <w:pStyle w:val="Default"/>
        <w:rPr>
          <w:color w:val="auto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t xml:space="preserve">Przemiany społeczno-gospodarcze w Polsce i na świecie </w:t>
      </w:r>
    </w:p>
    <w:p w14:paraId="08CDD3F5" w14:textId="2CB0B818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t>Współczesne problemy demograficzne i społeczne świata. Zróżnicowanie gospodarcze świata. Wskaźniki rozwoju społecznego i gospodarczego: współczynniki urodzeń, zgonów, dzietności, feminizacji</w:t>
      </w:r>
      <w:r w:rsidR="00F77696">
        <w:rPr>
          <w:rFonts w:ascii="Fira Sans" w:hAnsi="Fira Sans" w:cs="Fira Sans"/>
          <w:color w:val="auto"/>
          <w:sz w:val="19"/>
          <w:szCs w:val="19"/>
        </w:rPr>
        <w:t xml:space="preserve"> </w:t>
      </w:r>
      <w:r w:rsidRPr="00524F03">
        <w:rPr>
          <w:rFonts w:ascii="Fira Sans" w:hAnsi="Fira Sans" w:cs="Fira Sans"/>
          <w:color w:val="auto"/>
          <w:sz w:val="19"/>
          <w:szCs w:val="19"/>
        </w:rPr>
        <w:t>i maskulinizacji, przyrostu naturalnego, przyrostu rzeczywistego, średnia długość trwania życia, śmiertelność niemowląt, struktura wieku ludności, wskaźnik gęstości zaludnienia, wskaźnik urbanizacji, wskaźnik dynamiki zmian ludności, współczynnik aktywności zawodowej, stopa bezrobocia. Klasyfikacja państw świata z uwzględnieniem Produktu Krajowego Brutto (PKB), PKB per capita i Wskaźnika Rozwoju Społecznego (HDI). Ludność świata. Działalność gospodarcza na świecie: zasoby naturalne, rolnictwo, przemysł, usługi, eksport i import. Geografia Polski: zagadnienia ludnościowe, środowisko przyrodnicze</w:t>
      </w:r>
      <w:r w:rsidR="00F77696">
        <w:rPr>
          <w:rFonts w:ascii="Fira Sans" w:hAnsi="Fira Sans" w:cs="Fira Sans"/>
          <w:color w:val="auto"/>
          <w:sz w:val="19"/>
          <w:szCs w:val="19"/>
        </w:rPr>
        <w:t xml:space="preserve"> </w:t>
      </w:r>
      <w:r w:rsidRPr="00524F03">
        <w:rPr>
          <w:rFonts w:ascii="Fira Sans" w:hAnsi="Fira Sans" w:cs="Fira Sans"/>
          <w:color w:val="auto"/>
          <w:sz w:val="19"/>
          <w:szCs w:val="19"/>
        </w:rPr>
        <w:t xml:space="preserve">i działalność gospodarcza. </w:t>
      </w:r>
    </w:p>
    <w:p w14:paraId="5B491F44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t xml:space="preserve">Struktura społeczna, w tym grupy i warstwy społeczne. Wskaźniki nierówności społecznych w Polsce, wykluczenia społecznego, wykluczenia cyfrowego. Przemiany polityczne i społeczno-gospodarcze po 1989 r. (w tym zmiany PKB, PKB per capita i inflacji). Samorząd terytorialny w Polsce: charakterystyki ilościowe samorządności w Polsce, struktura samorządu w Polsce, analiza dochodów i wydatków. Polska w Unii Europejskiej: charakterystyki ilościowe Unii Europejskiej dotyczące narodowości, ludności, języków. </w:t>
      </w:r>
    </w:p>
    <w:p w14:paraId="1F415590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</w:p>
    <w:p w14:paraId="287C3155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b/>
          <w:bCs/>
          <w:color w:val="auto"/>
          <w:sz w:val="19"/>
          <w:szCs w:val="19"/>
        </w:rPr>
        <w:t xml:space="preserve">Obszar 6. </w:t>
      </w:r>
    </w:p>
    <w:p w14:paraId="3F7D5050" w14:textId="77777777" w:rsidR="00D84BC8" w:rsidRPr="00524F03" w:rsidRDefault="00D84BC8" w:rsidP="00D84BC8">
      <w:pPr>
        <w:pStyle w:val="Default"/>
        <w:rPr>
          <w:color w:val="auto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t>Technologia i społeczeństwo</w:t>
      </w:r>
    </w:p>
    <w:p w14:paraId="457EDD03" w14:textId="77777777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t xml:space="preserve">Opracowywanie informacji statystycznych za pomocą komputera, z wykorzystaniem arkuszy kalkulacyjnych (Excel). Sposoby gromadzenia danych. Nośniki danych i ich pojemności. Wzrost zasobów danych w świecie. Przyczyny i występowanie chorób cywilizacyjnych w Polsce i na świecie. Ochrona przyrody i środowiska. Problemy ekologiczne w świecie. Zmiany środowiska naturalnego w wyniku działalności gospodarczej. Współczesne zagrożenia związane z rozwojem gospodarczym. </w:t>
      </w:r>
    </w:p>
    <w:p w14:paraId="2EF18EAA" w14:textId="357DFA32" w:rsidR="00D84BC8" w:rsidRPr="00524F03" w:rsidRDefault="00D84BC8" w:rsidP="00D84BC8">
      <w:pPr>
        <w:pStyle w:val="Default"/>
        <w:rPr>
          <w:rFonts w:ascii="Fira Sans" w:hAnsi="Fira Sans" w:cs="Fira Sans"/>
          <w:color w:val="auto"/>
          <w:sz w:val="19"/>
          <w:szCs w:val="19"/>
        </w:rPr>
      </w:pPr>
      <w:r w:rsidRPr="00524F03">
        <w:rPr>
          <w:rFonts w:ascii="Fira Sans" w:hAnsi="Fira Sans" w:cs="Fira Sans"/>
          <w:color w:val="auto"/>
          <w:sz w:val="19"/>
          <w:szCs w:val="19"/>
        </w:rPr>
        <w:t xml:space="preserve">Zdrowie a długość trwania życia. Epidemie – najważniejsze współczesne zagrożenia i ich wpływ na realia społeczno-gospodarcze. Główne problemy zdrowotne w różnych regionach świata. </w:t>
      </w:r>
    </w:p>
    <w:p w14:paraId="03FAC9AE" w14:textId="77777777" w:rsidR="00D84BC8" w:rsidRPr="00524F03" w:rsidRDefault="00D84BC8" w:rsidP="00D84BC8">
      <w:pPr>
        <w:rPr>
          <w:sz w:val="19"/>
          <w:szCs w:val="19"/>
        </w:rPr>
      </w:pPr>
    </w:p>
    <w:p w14:paraId="370D2A34" w14:textId="77777777" w:rsidR="00671681" w:rsidRPr="00524F03" w:rsidRDefault="00671681" w:rsidP="00D84BC8">
      <w:pPr>
        <w:rPr>
          <w:rFonts w:ascii="Fira Sans" w:hAnsi="Fira Sans" w:cs="Fira Sans"/>
          <w:b/>
          <w:bCs/>
          <w:sz w:val="19"/>
          <w:szCs w:val="19"/>
        </w:rPr>
      </w:pPr>
    </w:p>
    <w:sectPr w:rsidR="00671681" w:rsidRPr="00524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9599C"/>
    <w:multiLevelType w:val="hybridMultilevel"/>
    <w:tmpl w:val="EE722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681"/>
    <w:rsid w:val="000B5767"/>
    <w:rsid w:val="000D3920"/>
    <w:rsid w:val="0010155E"/>
    <w:rsid w:val="001A6D03"/>
    <w:rsid w:val="0020133C"/>
    <w:rsid w:val="002D021A"/>
    <w:rsid w:val="00335917"/>
    <w:rsid w:val="003C181B"/>
    <w:rsid w:val="004E6C46"/>
    <w:rsid w:val="005062BF"/>
    <w:rsid w:val="00524F03"/>
    <w:rsid w:val="005F72EC"/>
    <w:rsid w:val="00671681"/>
    <w:rsid w:val="006D26FF"/>
    <w:rsid w:val="007E481D"/>
    <w:rsid w:val="008404B7"/>
    <w:rsid w:val="00844953"/>
    <w:rsid w:val="00870454"/>
    <w:rsid w:val="00967C29"/>
    <w:rsid w:val="00983BE8"/>
    <w:rsid w:val="009B11DD"/>
    <w:rsid w:val="009D50F8"/>
    <w:rsid w:val="00A90065"/>
    <w:rsid w:val="00AE6EE2"/>
    <w:rsid w:val="00C32428"/>
    <w:rsid w:val="00C754E8"/>
    <w:rsid w:val="00CC5B33"/>
    <w:rsid w:val="00CE72B2"/>
    <w:rsid w:val="00D84BC8"/>
    <w:rsid w:val="00DC0703"/>
    <w:rsid w:val="00DD76AC"/>
    <w:rsid w:val="00E72648"/>
    <w:rsid w:val="00E9179D"/>
    <w:rsid w:val="00F24A51"/>
    <w:rsid w:val="00F77696"/>
    <w:rsid w:val="00FB007A"/>
    <w:rsid w:val="00FE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68673"/>
  <w15:chartTrackingRefBased/>
  <w15:docId w15:val="{FE49CFE6-00F6-4F5C-AEDC-E4B0B7A4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5917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716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359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3591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72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2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2B2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2B2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2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2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9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Program OS.docx</NazwaPliku>
    <Osoba xmlns="AD3641B4-23D9-4536-AF9E-7D0EADDEB824">STAT\BUKOWYN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18B8019-CB9F-4BAB-915C-9EEC41AF5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8E0FC5-CC86-4398-A5D4-CE7EE49C34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1136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Walska Ewa</dc:creator>
  <cp:keywords/>
  <dc:description/>
  <cp:lastModifiedBy>Łopaciuk Eliza</cp:lastModifiedBy>
  <cp:revision>10</cp:revision>
  <dcterms:created xsi:type="dcterms:W3CDTF">2025-10-15T07:30:00Z</dcterms:created>
  <dcterms:modified xsi:type="dcterms:W3CDTF">2025-10-21T09:44:00Z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GUS-DK01.622.7.2022.29</vt:lpwstr>
  </property>
  <property fmtid="{D5CDD505-2E9C-101B-9397-08002B2CF9AE}" pid="3" name="UNPPisma">
    <vt:lpwstr>2022-215546</vt:lpwstr>
  </property>
  <property fmtid="{D5CDD505-2E9C-101B-9397-08002B2CF9AE}" pid="4" name="ZnakSprawy">
    <vt:lpwstr>GUS-DK01.622.7.2022</vt:lpwstr>
  </property>
  <property fmtid="{D5CDD505-2E9C-101B-9397-08002B2CF9AE}" pid="5" name="ZnakSprawyPrzedPrzeniesieniem">
    <vt:lpwstr/>
  </property>
  <property fmtid="{D5CDD505-2E9C-101B-9397-08002B2CF9AE}" pid="6" name="Autor">
    <vt:lpwstr>Walska Ewa</vt:lpwstr>
  </property>
  <property fmtid="{D5CDD505-2E9C-101B-9397-08002B2CF9AE}" pid="7" name="AutorInicjaly">
    <vt:lpwstr>EW</vt:lpwstr>
  </property>
  <property fmtid="{D5CDD505-2E9C-101B-9397-08002B2CF9AE}" pid="8" name="AutorNrTelefonu">
    <vt:lpwstr>(022) 449-4010</vt:lpwstr>
  </property>
  <property fmtid="{D5CDD505-2E9C-101B-9397-08002B2CF9AE}" pid="9" name="Stanowisko">
    <vt:lpwstr>p.o. naczelnika wydziału</vt:lpwstr>
  </property>
  <property fmtid="{D5CDD505-2E9C-101B-9397-08002B2CF9AE}" pid="10" name="OpisPisma">
    <vt:lpwstr>Uchwała nr 1 KG OS - program Olimpiady statystycznej 2022/2023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2022-09-26</vt:lpwstr>
  </property>
  <property fmtid="{D5CDD505-2E9C-101B-9397-08002B2CF9AE}" pid="14" name="Wydzial">
    <vt:lpwstr>Wydział Edukacji i Promocji</vt:lpwstr>
  </property>
  <property fmtid="{D5CDD505-2E9C-101B-9397-08002B2CF9AE}" pid="15" name="KodWydzialu">
    <vt:lpwstr>DK-01</vt:lpwstr>
  </property>
  <property fmtid="{D5CDD505-2E9C-101B-9397-08002B2CF9AE}" pid="16" name="ZaakceptowanePrzez">
    <vt:lpwstr>n/d</vt:lpwstr>
  </property>
  <property fmtid="{D5CDD505-2E9C-101B-9397-08002B2CF9AE}" pid="17" name="PrzekazanieDo">
    <vt:lpwstr>Ewa Walska</vt:lpwstr>
  </property>
  <property fmtid="{D5CDD505-2E9C-101B-9397-08002B2CF9AE}" pid="18" name="PrzekazanieDoStanowisko">
    <vt:lpwstr>p.o. naczelnika wydziału</vt:lpwstr>
  </property>
  <property fmtid="{D5CDD505-2E9C-101B-9397-08002B2CF9AE}" pid="19" name="PrzekazanieDoKomorkaPracownika">
    <vt:lpwstr>Wydział Edukacji i Promocji(DK-01)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>2022-09-26</vt:lpwstr>
  </property>
  <property fmtid="{D5CDD505-2E9C-101B-9397-08002B2CF9AE}" pid="34" name="KodKreskowy">
    <vt:lpwstr/>
  </property>
  <property fmtid="{D5CDD505-2E9C-101B-9397-08002B2CF9AE}" pid="35" name="TrescPisma">
    <vt:lpwstr/>
  </property>
</Properties>
</file>